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236</w:t>
      </w:r>
    </w:p>
    <w:p>
      <w:r>
        <w:t>Bundesgericht (BGE), 1984-05-16, IT</w:t>
      </w:r>
    </w:p>
    <w:p>
      <w:r>
        <w:rPr>
          <w:b/>
        </w:rPr>
        <w:t xml:space="preserve">Quelle: </w:t>
      </w:r>
      <w:r>
        <w:t>https://mcp.opencaselaw.ch/entscheid/bge_110 II 236</w:t>
      </w:r>
    </w:p>
    <w:p>
      <w:r>
        <w:t>FR: ATF 110 II 236</w:t>
      </w:r>
    </w:p>
    <w:p>
      <w:r>
        <w:t>IT: DTF 110 II 236</w:t>
      </w:r>
    </w:p>
    <w:p>
      <w:pPr>
        <w:pStyle w:val="Heading2"/>
      </w:pPr>
      <w:r>
        <w:t>Regeste</w:t>
      </w:r>
    </w:p>
    <w:p>
      <w:r>
        <w:t>Regeste Art. 836 ZGB. Gesetzliches Pfandrecht des kantonalen Rechts für Steuerforderungen. Das Bundesrecht verlangt, dass die Steuer, welche mit dem gesetzlichen Pfandrecht gesichert werden soll, eine besondere Beziehung zum belasteten Grundstück hat (E. 1). Art. 183 Abs. 1 des tessinischen Einführungsgesetzes zum Zivilgesetzbuch ist insofern mit dem Bundesrecht unvereinbar, als es dem Kanton ein gesetzliches Pfandrecht für die Kapitalsteuer juristischer Personen gemäss Art. 78 des Steuergesetzes einräumt. Es besteht keine Beziehung zwischen der Steuer und dem belasteten Grundstück, wenngleich dieses das einzige Aktivum des Gesellschaftsvermögens darstellt.</w:t>
      </w:r>
    </w:p>
    <w:p>
      <w:pPr>
        <w:pStyle w:val="Heading2"/>
      </w:pPr>
      <w:r>
        <w:t>Volltext</w:t>
      </w:r>
    </w:p>
    <w:p>
      <w:r>
        <w:t>Urteilskopf 110 II 236 48. Sentenza 16 maggio 1984 della II Corte civile nella causa Stato del Cantone Ticino contro Credito Svizzero (ricorso per riforma) Regeste Art. 836 ZGB . Gesetzliches Pfandrecht des kantonalen Rechts für Steuerforderungen. Das Bundesrecht verlangt, dass die Steuer, welche mit dem gesetzlichen Pfandrecht gesichert werden soll, eine besondere Beziehung zum belasteten Grundstück hat (E. 1). Art. 183 Abs. 1 des tessinischen Einführungsgesetzes zum Zivilgesetzbuch ist insofern mit dem Bundesrecht unvereinbar, als es dem Kanton ein gesetzliches Pfandrecht für die Kapitalsteuer juristischer Personen gemäss Art. 78 des Steuergesetzes einräumt. Es besteht keine Beziehung zwischen der Steuer und dem belasteten Grundstück, wenngleich dieses das einzige Aktivum des Gesellschaftsvermögens darstellt. Sachverhalt ab Seite 237 BGE 110 II 236 S. 237 Sull'elenco oneri concernente la realizzazione di un appartamento di proprietà della debitrice E. Skory &amp; Foletti S.A. figurano, tra l'altro, un'ipoteca legale a favore dello Stato del Cantone Ticino, a garanzia d'imposte cantonali degli anni 1978-1981 per complessivi Fr. 13'438.95, ed una cartella ipotecaria di Fr. 50'000.- in secondo rango, della quale è portatore il Credito Svizzero di Bellinzona. L'istituto bancario ha chiesto lo stralcio integrale delle pretese dello Stato, negandogli il beneficio dell'ipoteca legale. Il Pretore di Lugano-Campagna ha accolto la petizione nella misura in cui l'ipoteca legale garantiva l'imposta sul capitale delle persone giuridiche (Fr. 3'000.- per ciascuno dei quattro anni in questione); per l'imposta immobiliare (Fr. 144.30 per il 1978 e Fr. 163.95 per i tre anni successivi) l'ipoteca legale è invece stata mantenuta. Il giudizio del Pretore è stato confermato il 22 dicembre 1983 dalla II Camera civile del Tribunale di appello ticinese. Lo Stato del Cantone Ticino è insorto davanti al Tribunale federale con ricorso per riforma, con il quale chiede che la garanzia dell'ipoteca legale sia accordata anche per l'imposta sul capitale di Fr. 3'000.- annui. Il ricorso è stato respinto. Erwägungen Considerato in diritto: 1. L' art. 836 CC sancisce che le ipoteche legali stabilite dalle leggi cantonali, per i rapporti di diritto pubblico o altri rapporti di carattere obbligatorio generale per tutti i proprietari di fondi, non richiedono per la loro validità l'iscrizione nel registro fondiario, salvo disposizione contraria.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BGE 110 II 236 S. 238 particolare con il fondo da gravare ( DTF 85 I 37 /38; DTF 84 II 100 segg. consid. 2a/b; DTF 62 II 24 , in part. 29). Nel Cantone Ticino l'art. 183 della legge d'applicazione e complemento del CC del 18 aprile 1911 (LAC) riconosce allo Stato le ipoteche legali, prevalenti sugli altri pegni immobiliari (cpv. 2),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o della esecuzione" (cpv. 1 lett. a). Nella sentenza pubblicata in DTF 62 II 24 il Tribunale federale ha escluso che questa disposizione cantonale sia compatibile con l' art. 836 CC , nella misura in cui accorda il beneficio dell'ipoteca legale per pretese concernenti le imposte sulla sostanza mobiliare e sul reddito, senza rapporto con l'immobile gravato. Nella fattispecie il litigio riguarda il diritto dello Stato di beneficiare della medesima garanzia per l'imposta sul capitale delle società anonime. Per l'imposta immobiliare non v'è più contestazione davanti al Tribunale federale. 2. Secondo l'art. 78 della legge tributaria del 28 settembre 1976 (LT) l'oggetto dell'imposta delle società di capitali e cooperative comprende il capitale azioni o il capitale sociale liberato, le riserve aperte e quelle tacite tassate come utile nonché l'ammontare dei debiti non riconosciuti dalla legge (cpv. 1); è imponibile almeno il capitale azioni o il capitale sociale liberato (cpv. 2). L'art. 80 LT stabilisce l'imposta nella misura del 3%o del capitale imponibile. La E. Skory &amp; Foletti S.A. è stata tassata con il 3%o del capitale sociale di Fr. 1'000'000.- (Fr. 3'000.- annui). All'attivo essa dispone unicamente dell'immobile messo all'asta pubblica, i cui valori di stima ufficiali erano di Fr. 72'164.- nel 1978 e di Fr. 81'980.- per gli anni 1979-1981: nell'avviso d'incanto figura un valore peritale di Fr. 100'000.-. Il capitale sociale, che ha determinato la somma imponibile minima, non ha alcuna relazione con l'immobile di proprietà della società. Nessun rapporto può quindi esservi fra l'imposta sul capitale in questione e il predetto immobile. Non è neppure possibile accertare in quale misura una parte dell'imposta sul capitale possa ricadere sul fondo. Certo il ricorrente, per il calcolo dell'entità dell'ipoteca legale, accenna alla ripartizione proporzionale tra gli attivi costituiti da immobili ed i BGE 110 II 236 S. 239 rimanenti, commisurati ai fattori imponibili, il che, considerato come l'appartamento in condominio sia ormai l'unico attivo della società, condurrebbe necessariamente al valore dell'intera imposta sul capitale. Ma, per tacere del fatto che neppure il diritto cantonale prevede tale possibilità, il sistema d'imposizione è diverso: si tratta, come s'è detto, di un'imposta sul patrimonio, che tocca unicamente il capitale sociale, in quanto valore imponibile minimo. Un'imposta di questa natura non ha alcuna relazione con l'immobile di una persona giuridica determinata, anche qualora esso sia l'unico bene figurante all'attivo. L' art. 836 CC non conferisce allo Stato alcun diritto per garantire pretese di questo tipo. La circostanza, addotta nel ricorso, per cui il fisco sarebbe protetto in misura minore rispetto alle persone giuridiche che verso persone fisiche, è una conseguenza del sistema fiscale in vigore nel Cantone Ticino, non del diritto privato svizzero. Per questi motivi il ricorso per riforma risulta infondato e la sentenza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